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4CA" w:rsidRPr="00E34ED2" w:rsidRDefault="008D24CA" w:rsidP="008D24CA">
      <w:pPr>
        <w:jc w:val="both"/>
        <w:rPr>
          <w:rFonts w:ascii="Arial" w:hAnsi="Arial" w:cs="Arial"/>
          <w:noProof/>
          <w:sz w:val="22"/>
          <w:szCs w:val="22"/>
        </w:rPr>
      </w:pPr>
      <w:r w:rsidRPr="0083316E">
        <w:rPr>
          <w:rFonts w:ascii="Arial" w:hAnsi="Arial" w:cs="Arial"/>
          <w:noProof/>
          <w:sz w:val="22"/>
          <w:szCs w:val="22"/>
        </w:rPr>
        <w:t xml:space="preserve">Cet </w:t>
      </w:r>
      <w:r w:rsidRPr="00F871AC">
        <w:rPr>
          <w:rFonts w:ascii="Arial" w:hAnsi="Arial" w:cs="Arial"/>
          <w:b/>
          <w:bCs/>
          <w:noProof/>
          <w:sz w:val="22"/>
          <w:szCs w:val="22"/>
          <w:u w:val="single"/>
        </w:rPr>
        <w:t xml:space="preserve">article de recherche </w:t>
      </w:r>
      <w:r>
        <w:rPr>
          <w:rFonts w:ascii="Arial" w:hAnsi="Arial" w:cs="Arial"/>
          <w:b/>
          <w:bCs/>
          <w:noProof/>
          <w:sz w:val="22"/>
          <w:szCs w:val="22"/>
          <w:u w:val="single"/>
        </w:rPr>
        <w:t>translationelle</w:t>
      </w:r>
      <w:r w:rsidRPr="0083316E">
        <w:rPr>
          <w:rFonts w:ascii="Arial" w:hAnsi="Arial" w:cs="Arial"/>
          <w:noProof/>
          <w:sz w:val="22"/>
          <w:szCs w:val="22"/>
        </w:rPr>
        <w:t xml:space="preserve"> réalisé notam</w:t>
      </w:r>
      <w:r>
        <w:rPr>
          <w:rFonts w:ascii="Arial" w:hAnsi="Arial" w:cs="Arial"/>
          <w:noProof/>
          <w:sz w:val="22"/>
          <w:szCs w:val="22"/>
        </w:rPr>
        <w:t>m</w:t>
      </w:r>
      <w:r w:rsidRPr="0083316E">
        <w:rPr>
          <w:rFonts w:ascii="Arial" w:hAnsi="Arial" w:cs="Arial"/>
          <w:noProof/>
          <w:sz w:val="22"/>
          <w:szCs w:val="22"/>
        </w:rPr>
        <w:t xml:space="preserve">ent en collaboration avec la </w:t>
      </w:r>
      <w:r w:rsidRPr="00F871AC">
        <w:rPr>
          <w:rFonts w:ascii="Arial" w:hAnsi="Arial" w:cs="Arial"/>
          <w:b/>
          <w:bCs/>
          <w:sz w:val="22"/>
          <w:szCs w:val="22"/>
        </w:rPr>
        <w:t xml:space="preserve">Plateforme </w:t>
      </w:r>
      <w:proofErr w:type="spellStart"/>
      <w:r w:rsidRPr="00F871AC">
        <w:rPr>
          <w:rFonts w:ascii="Arial" w:hAnsi="Arial" w:cs="Arial"/>
          <w:b/>
          <w:bCs/>
          <w:sz w:val="22"/>
          <w:szCs w:val="22"/>
        </w:rPr>
        <w:t>INteractome</w:t>
      </w:r>
      <w:proofErr w:type="spellEnd"/>
      <w:r w:rsidRPr="00F871A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871AC">
        <w:rPr>
          <w:rFonts w:ascii="Arial" w:hAnsi="Arial" w:cs="Arial"/>
          <w:b/>
          <w:bCs/>
          <w:sz w:val="22"/>
          <w:szCs w:val="22"/>
        </w:rPr>
        <w:t>Timone</w:t>
      </w:r>
      <w:proofErr w:type="spellEnd"/>
      <w:r w:rsidRPr="00F871AC">
        <w:rPr>
          <w:rFonts w:ascii="Arial" w:hAnsi="Arial" w:cs="Arial"/>
          <w:b/>
          <w:bCs/>
          <w:sz w:val="22"/>
          <w:szCs w:val="22"/>
        </w:rPr>
        <w:t xml:space="preserve"> (PINT) de l’Institut de </w:t>
      </w:r>
      <w:proofErr w:type="spellStart"/>
      <w:r w:rsidRPr="00F871AC">
        <w:rPr>
          <w:rFonts w:ascii="Arial" w:hAnsi="Arial" w:cs="Arial"/>
          <w:b/>
          <w:bCs/>
          <w:sz w:val="22"/>
          <w:szCs w:val="22"/>
        </w:rPr>
        <w:t>Neurophysiopathologie</w:t>
      </w:r>
      <w:proofErr w:type="spellEnd"/>
      <w:r w:rsidRPr="00F871AC">
        <w:rPr>
          <w:rFonts w:ascii="Arial" w:hAnsi="Arial" w:cs="Arial"/>
          <w:sz w:val="22"/>
          <w:szCs w:val="22"/>
        </w:rPr>
        <w:t xml:space="preserve"> rapporte </w:t>
      </w:r>
      <w:r w:rsidRPr="00E34ED2">
        <w:rPr>
          <w:rFonts w:ascii="Arial" w:hAnsi="Arial" w:cs="Arial"/>
          <w:sz w:val="22"/>
          <w:szCs w:val="22"/>
        </w:rPr>
        <w:t xml:space="preserve">la </w:t>
      </w:r>
      <w:r w:rsidRPr="00E34ED2">
        <w:rPr>
          <w:rFonts w:ascii="Arial" w:hAnsi="Arial" w:cs="Arial"/>
          <w:noProof/>
          <w:sz w:val="22"/>
          <w:szCs w:val="22"/>
        </w:rPr>
        <w:t xml:space="preserve">preuve de concept qu’il est possible d’utiliser </w:t>
      </w:r>
      <w:r w:rsidRPr="00E34ED2">
        <w:rPr>
          <w:rFonts w:ascii="Arial" w:hAnsi="Arial" w:cs="Arial"/>
          <w:sz w:val="22"/>
          <w:szCs w:val="22"/>
        </w:rPr>
        <w:t xml:space="preserve">la technologie appelée Nano-DSF associée à </w:t>
      </w:r>
      <w:r w:rsidRPr="00E34ED2">
        <w:rPr>
          <w:rFonts w:ascii="Arial" w:hAnsi="Arial" w:cs="Arial"/>
          <w:noProof/>
          <w:sz w:val="22"/>
          <w:szCs w:val="22"/>
        </w:rPr>
        <w:t>l’intelligence artificielle pour détecter rapidement une altération moléculaire spécifique du glioblastome</w:t>
      </w:r>
      <w:r>
        <w:rPr>
          <w:rFonts w:ascii="Arial" w:hAnsi="Arial" w:cs="Arial"/>
          <w:noProof/>
          <w:sz w:val="22"/>
          <w:szCs w:val="22"/>
        </w:rPr>
        <w:t xml:space="preserve">, </w:t>
      </w:r>
      <w:r w:rsidRPr="00E34ED2">
        <w:rPr>
          <w:rFonts w:ascii="Arial" w:eastAsia="Calibri" w:hAnsi="Arial" w:cs="Arial"/>
          <w:color w:val="000000"/>
          <w:sz w:val="22"/>
          <w:szCs w:val="22"/>
        </w:rPr>
        <w:t>l’amplification de l’</w:t>
      </w:r>
      <w:r w:rsidRPr="00E34ED2">
        <w:rPr>
          <w:rFonts w:ascii="Arial" w:eastAsia="Calibri" w:hAnsi="Arial" w:cs="Arial"/>
          <w:i/>
          <w:color w:val="000000"/>
          <w:sz w:val="22"/>
          <w:szCs w:val="22"/>
        </w:rPr>
        <w:t>EGFR</w:t>
      </w:r>
      <w:r w:rsidRPr="00E34ED2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proofErr w:type="spellStart"/>
      <w:r w:rsidRPr="00E34ED2">
        <w:rPr>
          <w:rFonts w:ascii="Arial" w:eastAsia="Calibri" w:hAnsi="Arial" w:cs="Arial"/>
          <w:i/>
          <w:iCs/>
          <w:color w:val="000000"/>
          <w:sz w:val="22"/>
          <w:szCs w:val="22"/>
        </w:rPr>
        <w:t>Epidermal</w:t>
      </w:r>
      <w:proofErr w:type="spellEnd"/>
      <w:r w:rsidRPr="00E34ED2">
        <w:rPr>
          <w:rFonts w:ascii="Arial" w:eastAsia="Calibri" w:hAnsi="Arial" w:cs="Arial"/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Calibri" w:hAnsi="Arial" w:cs="Arial"/>
          <w:i/>
          <w:iCs/>
          <w:color w:val="000000"/>
          <w:sz w:val="22"/>
          <w:szCs w:val="22"/>
        </w:rPr>
        <w:t>G</w:t>
      </w:r>
      <w:r w:rsidRPr="00E34ED2">
        <w:rPr>
          <w:rFonts w:ascii="Arial" w:eastAsia="Calibri" w:hAnsi="Arial" w:cs="Arial"/>
          <w:i/>
          <w:iCs/>
          <w:color w:val="000000"/>
          <w:sz w:val="22"/>
          <w:szCs w:val="22"/>
        </w:rPr>
        <w:t>rowth</w:t>
      </w:r>
      <w:proofErr w:type="spellEnd"/>
      <w:r w:rsidRPr="00E34ED2">
        <w:rPr>
          <w:rFonts w:ascii="Arial" w:eastAsia="Calibri" w:hAnsi="Arial" w:cs="Arial"/>
          <w:i/>
          <w:iCs/>
          <w:color w:val="000000"/>
          <w:sz w:val="22"/>
          <w:szCs w:val="22"/>
        </w:rPr>
        <w:t xml:space="preserve"> </w:t>
      </w:r>
      <w:r>
        <w:rPr>
          <w:rFonts w:ascii="Arial" w:eastAsia="Calibri" w:hAnsi="Arial" w:cs="Arial"/>
          <w:i/>
          <w:iCs/>
          <w:color w:val="000000"/>
          <w:sz w:val="22"/>
          <w:szCs w:val="22"/>
        </w:rPr>
        <w:t>F</w:t>
      </w:r>
      <w:r w:rsidRPr="00E34ED2">
        <w:rPr>
          <w:rFonts w:ascii="Arial" w:eastAsia="Calibri" w:hAnsi="Arial" w:cs="Arial"/>
          <w:i/>
          <w:iCs/>
          <w:color w:val="000000"/>
          <w:sz w:val="22"/>
          <w:szCs w:val="22"/>
        </w:rPr>
        <w:t xml:space="preserve">actor </w:t>
      </w:r>
      <w:proofErr w:type="spellStart"/>
      <w:r>
        <w:rPr>
          <w:rFonts w:ascii="Arial" w:eastAsia="Calibri" w:hAnsi="Arial" w:cs="Arial"/>
          <w:i/>
          <w:iCs/>
          <w:color w:val="000000"/>
          <w:sz w:val="22"/>
          <w:szCs w:val="22"/>
        </w:rPr>
        <w:t>R</w:t>
      </w:r>
      <w:r w:rsidRPr="00E34ED2">
        <w:rPr>
          <w:rFonts w:ascii="Arial" w:eastAsia="Calibri" w:hAnsi="Arial" w:cs="Arial"/>
          <w:i/>
          <w:iCs/>
          <w:color w:val="000000"/>
          <w:sz w:val="22"/>
          <w:szCs w:val="22"/>
        </w:rPr>
        <w:t>eceptor</w:t>
      </w:r>
      <w:proofErr w:type="spellEnd"/>
      <w:r w:rsidRPr="00E34ED2">
        <w:rPr>
          <w:rFonts w:ascii="Arial" w:eastAsia="Calibri" w:hAnsi="Arial" w:cs="Arial"/>
          <w:color w:val="000000"/>
          <w:sz w:val="22"/>
          <w:szCs w:val="22"/>
        </w:rPr>
        <w:t>)</w:t>
      </w:r>
      <w:r w:rsidRPr="00E34ED2">
        <w:rPr>
          <w:rFonts w:ascii="Arial" w:hAnsi="Arial" w:cs="Arial"/>
          <w:noProof/>
          <w:sz w:val="22"/>
          <w:szCs w:val="22"/>
        </w:rPr>
        <w:t>, à partir d’un simple prélèvement de plasma sanguin.</w:t>
      </w:r>
    </w:p>
    <w:p w:rsidR="008D24CA" w:rsidRDefault="008D24CA" w:rsidP="008D24CA">
      <w:pPr>
        <w:jc w:val="both"/>
        <w:rPr>
          <w:rFonts w:ascii="Arial" w:hAnsi="Arial" w:cs="Arial"/>
          <w:sz w:val="22"/>
          <w:szCs w:val="22"/>
        </w:rPr>
      </w:pPr>
      <w:r w:rsidRPr="00F871AC">
        <w:rPr>
          <w:rFonts w:ascii="Arial" w:hAnsi="Arial" w:cs="Arial"/>
          <w:noProof/>
          <w:sz w:val="22"/>
          <w:szCs w:val="22"/>
        </w:rPr>
        <w:t xml:space="preserve">En effet, </w:t>
      </w:r>
      <w:r w:rsidRPr="00F871AC">
        <w:rPr>
          <w:rFonts w:ascii="Arial" w:hAnsi="Arial" w:cs="Arial"/>
          <w:sz w:val="22"/>
          <w:szCs w:val="22"/>
        </w:rPr>
        <w:t xml:space="preserve">la </w:t>
      </w:r>
      <w:r w:rsidRPr="00E34ED2">
        <w:rPr>
          <w:rFonts w:ascii="Arial" w:hAnsi="Arial" w:cs="Arial"/>
          <w:b/>
          <w:bCs/>
          <w:sz w:val="22"/>
          <w:szCs w:val="22"/>
        </w:rPr>
        <w:t xml:space="preserve">technologie appelée Nano-DSF </w:t>
      </w:r>
      <w:r w:rsidRPr="00F871AC">
        <w:rPr>
          <w:rFonts w:ascii="Arial" w:hAnsi="Arial" w:cs="Arial"/>
          <w:sz w:val="22"/>
          <w:szCs w:val="22"/>
        </w:rPr>
        <w:t>(</w:t>
      </w:r>
      <w:r w:rsidRPr="00F871AC">
        <w:rPr>
          <w:rFonts w:ascii="Arial" w:hAnsi="Arial" w:cs="Arial"/>
          <w:i/>
          <w:iCs/>
          <w:sz w:val="22"/>
          <w:szCs w:val="22"/>
        </w:rPr>
        <w:t xml:space="preserve">Nano </w:t>
      </w:r>
      <w:proofErr w:type="spellStart"/>
      <w:r w:rsidRPr="00F871AC">
        <w:rPr>
          <w:rFonts w:ascii="Arial" w:hAnsi="Arial" w:cs="Arial"/>
          <w:i/>
          <w:iCs/>
          <w:sz w:val="22"/>
          <w:szCs w:val="22"/>
        </w:rPr>
        <w:t>Differential</w:t>
      </w:r>
      <w:proofErr w:type="spellEnd"/>
      <w:r w:rsidRPr="00F871AC">
        <w:rPr>
          <w:rFonts w:ascii="Arial" w:hAnsi="Arial" w:cs="Arial"/>
          <w:i/>
          <w:iCs/>
          <w:sz w:val="22"/>
          <w:szCs w:val="22"/>
        </w:rPr>
        <w:t xml:space="preserve"> Scanning </w:t>
      </w:r>
      <w:proofErr w:type="spellStart"/>
      <w:r w:rsidRPr="00F871AC">
        <w:rPr>
          <w:rFonts w:ascii="Arial" w:hAnsi="Arial" w:cs="Arial"/>
          <w:i/>
          <w:iCs/>
          <w:sz w:val="22"/>
          <w:szCs w:val="22"/>
        </w:rPr>
        <w:t>Fluorimetry</w:t>
      </w:r>
      <w:proofErr w:type="spellEnd"/>
      <w:r w:rsidRPr="00F871AC">
        <w:rPr>
          <w:rFonts w:ascii="Arial" w:hAnsi="Arial" w:cs="Arial"/>
          <w:sz w:val="22"/>
          <w:szCs w:val="22"/>
        </w:rPr>
        <w:t>) permet l’analyse de la stabilité des protéines</w:t>
      </w:r>
      <w:r>
        <w:rPr>
          <w:rFonts w:ascii="Arial" w:hAnsi="Arial" w:cs="Arial"/>
          <w:sz w:val="22"/>
          <w:szCs w:val="22"/>
        </w:rPr>
        <w:t xml:space="preserve"> du plasma sanguin, sur un profil dit de dénaturation. Les profils de dénaturation obtenus sont spécifiques d’un état pathologique (</w:t>
      </w:r>
      <w:proofErr w:type="spellStart"/>
      <w:r>
        <w:rPr>
          <w:rFonts w:ascii="Arial" w:hAnsi="Arial" w:cs="Arial"/>
          <w:sz w:val="22"/>
          <w:szCs w:val="22"/>
        </w:rPr>
        <w:t>glioblastome</w:t>
      </w:r>
      <w:proofErr w:type="spellEnd"/>
      <w:r>
        <w:rPr>
          <w:rFonts w:ascii="Arial" w:hAnsi="Arial" w:cs="Arial"/>
          <w:sz w:val="22"/>
          <w:szCs w:val="22"/>
        </w:rPr>
        <w:t xml:space="preserve">, cancer du poumon, mélanome, cancer colorectal…) et très différents de ceux de la population saine. </w:t>
      </w:r>
    </w:p>
    <w:p w:rsidR="008D24CA" w:rsidRDefault="008D24CA" w:rsidP="008D24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Dans cette étude, les analyses vont plus loin et démontrent que la comparaison, par </w:t>
      </w:r>
      <w:r w:rsidRPr="00E34ED2">
        <w:rPr>
          <w:rFonts w:ascii="Arial" w:hAnsi="Arial" w:cs="Arial"/>
          <w:b/>
          <w:bCs/>
          <w:sz w:val="22"/>
          <w:szCs w:val="22"/>
        </w:rPr>
        <w:t>intelligence artificielle</w:t>
      </w:r>
      <w:r>
        <w:rPr>
          <w:rFonts w:ascii="Arial" w:hAnsi="Arial" w:cs="Arial"/>
          <w:sz w:val="22"/>
          <w:szCs w:val="22"/>
        </w:rPr>
        <w:t xml:space="preserve">, de différents profils de dénaturation au sein du groupe des patients porteurs de </w:t>
      </w:r>
      <w:proofErr w:type="spellStart"/>
      <w:r>
        <w:rPr>
          <w:rFonts w:ascii="Arial" w:hAnsi="Arial" w:cs="Arial"/>
          <w:sz w:val="22"/>
          <w:szCs w:val="22"/>
        </w:rPr>
        <w:t>glioblastomes</w:t>
      </w:r>
      <w:proofErr w:type="spellEnd"/>
      <w:r>
        <w:rPr>
          <w:rFonts w:ascii="Arial" w:hAnsi="Arial" w:cs="Arial"/>
          <w:sz w:val="22"/>
          <w:szCs w:val="22"/>
        </w:rPr>
        <w:t>, peut également différencier ceux qui portent des altérations de la protéine EGFR de ceux qui n’en portent pas.</w:t>
      </w:r>
    </w:p>
    <w:p w:rsidR="00687A0D" w:rsidRDefault="008D24CA" w:rsidP="008D24CA">
      <w:r>
        <w:rPr>
          <w:rFonts w:ascii="Arial" w:hAnsi="Arial" w:cs="Arial"/>
          <w:sz w:val="22"/>
          <w:szCs w:val="22"/>
        </w:rPr>
        <w:t xml:space="preserve">Cette technologie pourrait donc être un outil très utile pour aider à la mise en évidence rapide de ce </w:t>
      </w:r>
      <w:r w:rsidRPr="00E34ED2">
        <w:rPr>
          <w:rFonts w:ascii="Arial" w:hAnsi="Arial" w:cs="Arial"/>
          <w:b/>
          <w:bCs/>
          <w:sz w:val="22"/>
          <w:szCs w:val="22"/>
        </w:rPr>
        <w:t>biomarqueur diagnostique prédictif</w:t>
      </w:r>
      <w:r>
        <w:rPr>
          <w:rFonts w:ascii="Arial" w:hAnsi="Arial" w:cs="Arial"/>
          <w:sz w:val="22"/>
          <w:szCs w:val="22"/>
        </w:rPr>
        <w:t>, et à une meilleure orientation thérapeutique des patients</w:t>
      </w:r>
      <w:bookmarkStart w:id="0" w:name="_GoBack"/>
      <w:bookmarkEnd w:id="0"/>
    </w:p>
    <w:sectPr w:rsidR="00687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4CA"/>
    <w:rsid w:val="00687A0D"/>
    <w:rsid w:val="008D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couesnon</dc:creator>
  <cp:lastModifiedBy>couesnon</cp:lastModifiedBy>
  <cp:revision>1</cp:revision>
  <dcterms:created xsi:type="dcterms:W3CDTF">2023-12-22T07:47:00Z</dcterms:created>
  <dcterms:modified xsi:type="dcterms:W3CDTF">2023-12-22T07:48:00Z</dcterms:modified>
</cp:coreProperties>
</file>